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071B" w14:textId="77777777" w:rsidR="00BB5622" w:rsidRDefault="00BB5622" w:rsidP="00BB5622">
      <w:pPr>
        <w:pStyle w:val="Tytu"/>
        <w:jc w:val="right"/>
        <w:rPr>
          <w:sz w:val="22"/>
          <w:szCs w:val="22"/>
        </w:rPr>
      </w:pPr>
    </w:p>
    <w:p w14:paraId="450B78DA" w14:textId="1E9EBA43" w:rsidR="00BB5622" w:rsidRDefault="00555538" w:rsidP="00BB5622">
      <w:pPr>
        <w:jc w:val="right"/>
      </w:pPr>
      <w:r w:rsidRPr="006D12BB">
        <w:t>Klasyfikacja</w:t>
      </w:r>
      <w:r w:rsidR="007B5202">
        <w:t xml:space="preserve"> W</w:t>
      </w:r>
    </w:p>
    <w:p w14:paraId="70F1BF52" w14:textId="5F719A44" w:rsidR="00BB5622" w:rsidRDefault="00BB5622" w:rsidP="00BB5622">
      <w:pPr>
        <w:pStyle w:val="Tytu"/>
        <w:jc w:val="center"/>
        <w:rPr>
          <w:sz w:val="22"/>
          <w:szCs w:val="22"/>
        </w:rPr>
      </w:pPr>
    </w:p>
    <w:p w14:paraId="50BABE8E" w14:textId="235D9607" w:rsidR="00886DF6" w:rsidRPr="00886DF6" w:rsidRDefault="00886DF6" w:rsidP="00886DF6">
      <w:pPr>
        <w:pStyle w:val="Nagwek1"/>
        <w:numPr>
          <w:ilvl w:val="0"/>
          <w:numId w:val="0"/>
        </w:numPr>
        <w:ind w:left="-1560" w:right="-851"/>
        <w:jc w:val="center"/>
        <w:rPr>
          <w:rFonts w:asciiTheme="minorHAnsi" w:hAnsiTheme="minorHAnsi" w:cstheme="minorHAnsi"/>
          <w:noProof/>
          <w:sz w:val="24"/>
          <w:szCs w:val="24"/>
        </w:rPr>
      </w:pPr>
      <w:r w:rsidRPr="00886DF6">
        <w:rPr>
          <w:rFonts w:asciiTheme="minorHAnsi" w:hAnsiTheme="minorHAnsi" w:cstheme="minorHAnsi"/>
          <w:noProof/>
          <w:sz w:val="24"/>
          <w:szCs w:val="24"/>
        </w:rPr>
        <w:t xml:space="preserve">Informacja o jakości publicznie dostępnych usług telekomunikacyjnych NASK </w:t>
      </w:r>
      <w:r w:rsidR="0025451D">
        <w:rPr>
          <w:rFonts w:asciiTheme="minorHAnsi" w:hAnsiTheme="minorHAnsi" w:cstheme="minorHAnsi"/>
          <w:noProof/>
          <w:sz w:val="24"/>
          <w:szCs w:val="24"/>
        </w:rPr>
        <w:t>PIB</w:t>
      </w:r>
      <w:r w:rsidRPr="00886DF6">
        <w:rPr>
          <w:rFonts w:asciiTheme="minorHAnsi" w:hAnsiTheme="minorHAnsi" w:cstheme="minorHAnsi"/>
          <w:noProof/>
          <w:sz w:val="24"/>
          <w:szCs w:val="24"/>
        </w:rPr>
        <w:t xml:space="preserve"> w 202</w:t>
      </w:r>
      <w:r w:rsidR="002713B0">
        <w:rPr>
          <w:rFonts w:asciiTheme="minorHAnsi" w:hAnsiTheme="minorHAnsi" w:cstheme="minorHAnsi"/>
          <w:noProof/>
          <w:sz w:val="24"/>
          <w:szCs w:val="24"/>
        </w:rPr>
        <w:t>4</w:t>
      </w:r>
      <w:r w:rsidRPr="00886DF6">
        <w:rPr>
          <w:rFonts w:asciiTheme="minorHAnsi" w:hAnsiTheme="minorHAnsi" w:cstheme="minorHAnsi"/>
          <w:noProof/>
          <w:sz w:val="24"/>
          <w:szCs w:val="24"/>
        </w:rPr>
        <w:t>r.</w:t>
      </w:r>
    </w:p>
    <w:p w14:paraId="2437FF64" w14:textId="77777777" w:rsidR="00BB5622" w:rsidRPr="00BB5622" w:rsidRDefault="00BB5622" w:rsidP="00BB5622">
      <w:pPr>
        <w:jc w:val="center"/>
      </w:pPr>
    </w:p>
    <w:p w14:paraId="74ED8AC1" w14:textId="77777777" w:rsidR="00BB5622" w:rsidRDefault="00BB5622" w:rsidP="00BB5622">
      <w:pPr>
        <w:ind w:firstLine="708"/>
        <w:rPr>
          <w:szCs w:val="20"/>
        </w:rPr>
      </w:pPr>
      <w:bookmarkStart w:id="0" w:name="_Hlk120466801"/>
    </w:p>
    <w:tbl>
      <w:tblPr>
        <w:tblStyle w:val="Tabela-Siatka"/>
        <w:tblpPr w:leftFromText="141" w:rightFromText="141" w:vertAnchor="text" w:horzAnchor="margin" w:tblpY="-9"/>
        <w:tblW w:w="9771" w:type="dxa"/>
        <w:tblLook w:val="04A0" w:firstRow="1" w:lastRow="0" w:firstColumn="1" w:lastColumn="0" w:noHBand="0" w:noVBand="1"/>
        <w:tblCaption w:val="Tabela 1 Wskaźniki jakości publicznie dostępnych usług telekomunikacyjnych NASK SA w roku 2023."/>
        <w:tblDescription w:val="Tabela 1 Wskaźniki jakości publicznie dostępnych usług telekomunikacyjnych NASK SA w roku 2023."/>
      </w:tblPr>
      <w:tblGrid>
        <w:gridCol w:w="4385"/>
        <w:gridCol w:w="1417"/>
        <w:gridCol w:w="1276"/>
        <w:gridCol w:w="1276"/>
        <w:gridCol w:w="1417"/>
      </w:tblGrid>
      <w:tr w:rsidR="009764F4" w:rsidRPr="00886DF6" w14:paraId="77438E4D" w14:textId="77777777" w:rsidTr="009764F4">
        <w:trPr>
          <w:trHeight w:val="933"/>
        </w:trPr>
        <w:tc>
          <w:tcPr>
            <w:tcW w:w="4385" w:type="dxa"/>
            <w:tcBorders>
              <w:top w:val="single" w:sz="8" w:space="0" w:color="0070C0"/>
              <w:left w:val="single" w:sz="8" w:space="0" w:color="0070C0"/>
              <w:right w:val="single" w:sz="12" w:space="0" w:color="0070C0"/>
            </w:tcBorders>
            <w:shd w:val="clear" w:color="auto" w:fill="0070C0"/>
            <w:vAlign w:val="center"/>
          </w:tcPr>
          <w:p w14:paraId="17F0E4A0" w14:textId="77777777" w:rsidR="009764F4" w:rsidRPr="00886DF6" w:rsidRDefault="009764F4" w:rsidP="009764F4">
            <w:pPr>
              <w:jc w:val="center"/>
              <w:rPr>
                <w:b/>
                <w:bCs/>
                <w:color w:val="FFFFFF" w:themeColor="background1"/>
              </w:rPr>
            </w:pPr>
            <w:r w:rsidRPr="00886DF6">
              <w:rPr>
                <w:b/>
                <w:bCs/>
                <w:color w:val="FFFFFF" w:themeColor="background1"/>
              </w:rPr>
              <w:t>Nazwa wskaźnika</w:t>
            </w:r>
          </w:p>
        </w:tc>
        <w:tc>
          <w:tcPr>
            <w:tcW w:w="1417" w:type="dxa"/>
            <w:tcBorders>
              <w:top w:val="single" w:sz="8" w:space="0" w:color="0070C0"/>
              <w:left w:val="single" w:sz="12" w:space="0" w:color="0070C0"/>
              <w:right w:val="single" w:sz="12" w:space="0" w:color="0070C0"/>
            </w:tcBorders>
            <w:shd w:val="clear" w:color="auto" w:fill="0070C0"/>
            <w:vAlign w:val="center"/>
          </w:tcPr>
          <w:p w14:paraId="0F7F9443" w14:textId="55615767" w:rsidR="009764F4" w:rsidRPr="00886DF6" w:rsidRDefault="009764F4" w:rsidP="009764F4">
            <w:pPr>
              <w:jc w:val="center"/>
              <w:rPr>
                <w:b/>
                <w:bCs/>
                <w:color w:val="FFFFFF" w:themeColor="background1"/>
              </w:rPr>
            </w:pPr>
            <w:r w:rsidRPr="00886DF6">
              <w:rPr>
                <w:b/>
                <w:bCs/>
                <w:color w:val="FFFFFF" w:themeColor="background1"/>
              </w:rPr>
              <w:t>1 kw.</w:t>
            </w:r>
            <w:r w:rsidRPr="00886DF6">
              <w:rPr>
                <w:b/>
                <w:bCs/>
                <w:color w:val="FFFFFF" w:themeColor="background1"/>
              </w:rPr>
              <w:br/>
              <w:t>202</w:t>
            </w:r>
            <w:r w:rsidR="002713B0">
              <w:rPr>
                <w:b/>
                <w:bCs/>
                <w:color w:val="FFFFFF" w:themeColor="background1"/>
              </w:rPr>
              <w:t xml:space="preserve">4 </w:t>
            </w:r>
            <w:r w:rsidRPr="00886DF6">
              <w:rPr>
                <w:b/>
                <w:bCs/>
                <w:color w:val="FFFFFF" w:themeColor="background1"/>
              </w:rPr>
              <w:t>r.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12" w:space="0" w:color="0070C0"/>
              <w:right w:val="single" w:sz="12" w:space="0" w:color="0070C0"/>
            </w:tcBorders>
            <w:shd w:val="clear" w:color="auto" w:fill="0070C0"/>
            <w:vAlign w:val="center"/>
          </w:tcPr>
          <w:p w14:paraId="2C67826B" w14:textId="29D7C305" w:rsidR="009764F4" w:rsidRPr="00886DF6" w:rsidRDefault="009764F4" w:rsidP="009764F4">
            <w:pPr>
              <w:jc w:val="center"/>
              <w:rPr>
                <w:b/>
                <w:bCs/>
                <w:color w:val="FFFFFF" w:themeColor="background1"/>
              </w:rPr>
            </w:pPr>
            <w:r w:rsidRPr="00886DF6">
              <w:rPr>
                <w:b/>
                <w:bCs/>
                <w:color w:val="FFFFFF" w:themeColor="background1"/>
              </w:rPr>
              <w:t>2 kw.</w:t>
            </w:r>
            <w:r w:rsidRPr="00886DF6">
              <w:rPr>
                <w:b/>
                <w:bCs/>
                <w:color w:val="FFFFFF" w:themeColor="background1"/>
              </w:rPr>
              <w:br/>
              <w:t>202</w:t>
            </w:r>
            <w:r w:rsidR="002713B0">
              <w:rPr>
                <w:b/>
                <w:bCs/>
                <w:color w:val="FFFFFF" w:themeColor="background1"/>
              </w:rPr>
              <w:t xml:space="preserve">4 </w:t>
            </w:r>
            <w:r w:rsidRPr="00886DF6">
              <w:rPr>
                <w:b/>
                <w:bCs/>
                <w:color w:val="FFFFFF" w:themeColor="background1"/>
              </w:rPr>
              <w:t>r.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12" w:space="0" w:color="0070C0"/>
              <w:right w:val="single" w:sz="12" w:space="0" w:color="0070C0"/>
            </w:tcBorders>
            <w:shd w:val="clear" w:color="auto" w:fill="0070C0"/>
            <w:vAlign w:val="center"/>
          </w:tcPr>
          <w:p w14:paraId="1A02FF91" w14:textId="5D914A2F" w:rsidR="009764F4" w:rsidRPr="00886DF6" w:rsidRDefault="009764F4" w:rsidP="009764F4">
            <w:pPr>
              <w:jc w:val="center"/>
              <w:rPr>
                <w:b/>
                <w:bCs/>
                <w:color w:val="FFFFFF" w:themeColor="background1"/>
              </w:rPr>
            </w:pPr>
            <w:r w:rsidRPr="00886DF6">
              <w:rPr>
                <w:b/>
                <w:bCs/>
                <w:color w:val="FFFFFF" w:themeColor="background1"/>
              </w:rPr>
              <w:t>3 kw.</w:t>
            </w:r>
            <w:r w:rsidRPr="00886DF6">
              <w:rPr>
                <w:b/>
                <w:bCs/>
                <w:color w:val="FFFFFF" w:themeColor="background1"/>
              </w:rPr>
              <w:br/>
              <w:t>202</w:t>
            </w:r>
            <w:r w:rsidR="002713B0">
              <w:rPr>
                <w:b/>
                <w:bCs/>
                <w:color w:val="FFFFFF" w:themeColor="background1"/>
              </w:rPr>
              <w:t xml:space="preserve">4 </w:t>
            </w:r>
            <w:r w:rsidRPr="00886DF6">
              <w:rPr>
                <w:b/>
                <w:bCs/>
                <w:color w:val="FFFFFF" w:themeColor="background1"/>
              </w:rPr>
              <w:t>r.</w:t>
            </w:r>
          </w:p>
        </w:tc>
        <w:tc>
          <w:tcPr>
            <w:tcW w:w="1417" w:type="dxa"/>
            <w:tcBorders>
              <w:top w:val="single" w:sz="8" w:space="0" w:color="0070C0"/>
              <w:left w:val="single" w:sz="12" w:space="0" w:color="0070C0"/>
              <w:right w:val="single" w:sz="8" w:space="0" w:color="0070C0"/>
            </w:tcBorders>
            <w:shd w:val="clear" w:color="auto" w:fill="0070C0"/>
            <w:vAlign w:val="center"/>
          </w:tcPr>
          <w:p w14:paraId="0013161A" w14:textId="176A216E" w:rsidR="009764F4" w:rsidRPr="00886DF6" w:rsidRDefault="009764F4" w:rsidP="009764F4">
            <w:pPr>
              <w:jc w:val="center"/>
              <w:rPr>
                <w:b/>
                <w:bCs/>
                <w:color w:val="FFFFFF" w:themeColor="background1"/>
              </w:rPr>
            </w:pPr>
            <w:r w:rsidRPr="00886DF6">
              <w:rPr>
                <w:b/>
                <w:bCs/>
                <w:color w:val="FFFFFF" w:themeColor="background1"/>
              </w:rPr>
              <w:t>4 kw.</w:t>
            </w:r>
            <w:r w:rsidRPr="00886DF6">
              <w:rPr>
                <w:b/>
                <w:bCs/>
                <w:color w:val="FFFFFF" w:themeColor="background1"/>
              </w:rPr>
              <w:br/>
              <w:t>202</w:t>
            </w:r>
            <w:r w:rsidR="002713B0">
              <w:rPr>
                <w:b/>
                <w:bCs/>
                <w:color w:val="FFFFFF" w:themeColor="background1"/>
              </w:rPr>
              <w:t xml:space="preserve">4 </w:t>
            </w:r>
            <w:r w:rsidRPr="00886DF6">
              <w:rPr>
                <w:b/>
                <w:bCs/>
                <w:color w:val="FFFFFF" w:themeColor="background1"/>
              </w:rPr>
              <w:t>r.</w:t>
            </w:r>
          </w:p>
        </w:tc>
      </w:tr>
      <w:tr w:rsidR="009764F4" w:rsidRPr="00886DF6" w14:paraId="2A9C7856" w14:textId="77777777" w:rsidTr="009764F4">
        <w:trPr>
          <w:trHeight w:val="1158"/>
        </w:trPr>
        <w:tc>
          <w:tcPr>
            <w:tcW w:w="4385" w:type="dxa"/>
            <w:tcBorders>
              <w:left w:val="single" w:sz="8" w:space="0" w:color="0070C0"/>
            </w:tcBorders>
            <w:vAlign w:val="center"/>
          </w:tcPr>
          <w:p w14:paraId="75B71C47" w14:textId="77777777" w:rsidR="009764F4" w:rsidRPr="00886DF6" w:rsidRDefault="009764F4" w:rsidP="009764F4">
            <w:pPr>
              <w:jc w:val="center"/>
              <w:rPr>
                <w:b/>
                <w:bCs/>
                <w:color w:val="auto"/>
              </w:rPr>
            </w:pPr>
            <w:r w:rsidRPr="00886DF6">
              <w:rPr>
                <w:b/>
                <w:bCs/>
                <w:color w:val="auto"/>
              </w:rPr>
              <w:t>Czas oczekiwania na przyłączenie do stacjonarnej publicznej sieci telekomunikacyjnej</w:t>
            </w:r>
          </w:p>
        </w:tc>
        <w:tc>
          <w:tcPr>
            <w:tcW w:w="1417" w:type="dxa"/>
            <w:vAlign w:val="center"/>
          </w:tcPr>
          <w:p w14:paraId="0CC4C476" w14:textId="14938F04" w:rsidR="009764F4" w:rsidRPr="00BF5165" w:rsidRDefault="002713B0" w:rsidP="009764F4">
            <w:pPr>
              <w:jc w:val="center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 xml:space="preserve">X </w:t>
            </w:r>
            <w:r w:rsidR="009764F4" w:rsidRPr="00BF5165">
              <w:rPr>
                <w:color w:val="auto"/>
                <w:sz w:val="24"/>
                <w:szCs w:val="28"/>
              </w:rPr>
              <w:t>dnia</w:t>
            </w:r>
          </w:p>
        </w:tc>
        <w:tc>
          <w:tcPr>
            <w:tcW w:w="1276" w:type="dxa"/>
            <w:vAlign w:val="center"/>
          </w:tcPr>
          <w:p w14:paraId="73B18F4C" w14:textId="7A28A3A0" w:rsidR="009764F4" w:rsidRPr="00BF5165" w:rsidRDefault="002713B0" w:rsidP="009764F4">
            <w:pPr>
              <w:jc w:val="center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X</w:t>
            </w:r>
            <w:r w:rsidR="009764F4" w:rsidRPr="00BF5165">
              <w:rPr>
                <w:color w:val="auto"/>
                <w:sz w:val="24"/>
                <w:szCs w:val="28"/>
              </w:rPr>
              <w:t xml:space="preserve"> dnia</w:t>
            </w:r>
          </w:p>
        </w:tc>
        <w:tc>
          <w:tcPr>
            <w:tcW w:w="1276" w:type="dxa"/>
            <w:vAlign w:val="center"/>
          </w:tcPr>
          <w:p w14:paraId="7DD34BCB" w14:textId="77777777" w:rsidR="009764F4" w:rsidRPr="00BF5165" w:rsidRDefault="009764F4" w:rsidP="009764F4">
            <w:pPr>
              <w:jc w:val="center"/>
              <w:rPr>
                <w:color w:val="auto"/>
                <w:sz w:val="24"/>
                <w:szCs w:val="28"/>
              </w:rPr>
            </w:pPr>
            <w:r w:rsidRPr="00BF5165">
              <w:rPr>
                <w:color w:val="auto"/>
                <w:sz w:val="24"/>
                <w:szCs w:val="28"/>
              </w:rPr>
              <w:t>X dnia</w:t>
            </w:r>
          </w:p>
        </w:tc>
        <w:tc>
          <w:tcPr>
            <w:tcW w:w="1417" w:type="dxa"/>
            <w:tcBorders>
              <w:right w:val="single" w:sz="8" w:space="0" w:color="0070C0"/>
            </w:tcBorders>
            <w:vAlign w:val="center"/>
          </w:tcPr>
          <w:p w14:paraId="2E0FAE3F" w14:textId="77777777" w:rsidR="009764F4" w:rsidRPr="00BF5165" w:rsidRDefault="009764F4" w:rsidP="009764F4">
            <w:pPr>
              <w:jc w:val="center"/>
              <w:rPr>
                <w:color w:val="auto"/>
                <w:sz w:val="24"/>
                <w:szCs w:val="28"/>
              </w:rPr>
            </w:pPr>
            <w:r w:rsidRPr="00BF5165">
              <w:rPr>
                <w:color w:val="auto"/>
                <w:sz w:val="24"/>
                <w:szCs w:val="28"/>
              </w:rPr>
              <w:t>X dnia</w:t>
            </w:r>
          </w:p>
        </w:tc>
      </w:tr>
      <w:tr w:rsidR="009764F4" w:rsidRPr="00886DF6" w14:paraId="3D40A91C" w14:textId="77777777" w:rsidTr="009764F4">
        <w:trPr>
          <w:trHeight w:val="1026"/>
        </w:trPr>
        <w:tc>
          <w:tcPr>
            <w:tcW w:w="4385" w:type="dxa"/>
            <w:tcBorders>
              <w:left w:val="single" w:sz="8" w:space="0" w:color="0070C0"/>
              <w:bottom w:val="single" w:sz="12" w:space="0" w:color="0070C0"/>
            </w:tcBorders>
            <w:vAlign w:val="center"/>
          </w:tcPr>
          <w:p w14:paraId="4FC13FBA" w14:textId="77777777" w:rsidR="009764F4" w:rsidRPr="00886DF6" w:rsidRDefault="009764F4" w:rsidP="009764F4">
            <w:pPr>
              <w:jc w:val="center"/>
              <w:rPr>
                <w:b/>
                <w:bCs/>
                <w:color w:val="auto"/>
              </w:rPr>
            </w:pPr>
            <w:r w:rsidRPr="00886DF6">
              <w:rPr>
                <w:b/>
                <w:bCs/>
                <w:color w:val="auto"/>
              </w:rPr>
              <w:t>Czas obsługi awarii</w:t>
            </w:r>
          </w:p>
        </w:tc>
        <w:tc>
          <w:tcPr>
            <w:tcW w:w="1417" w:type="dxa"/>
            <w:tcBorders>
              <w:bottom w:val="single" w:sz="12" w:space="0" w:color="0070C0"/>
            </w:tcBorders>
            <w:vAlign w:val="center"/>
          </w:tcPr>
          <w:p w14:paraId="43B69D29" w14:textId="5C8B94CC" w:rsidR="009764F4" w:rsidRPr="00BF5165" w:rsidRDefault="002713B0" w:rsidP="009764F4">
            <w:pPr>
              <w:jc w:val="center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84,62%</w:t>
            </w: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14:paraId="4FB7F886" w14:textId="7D1CFEA3" w:rsidR="009764F4" w:rsidRPr="00BF5165" w:rsidRDefault="009764F4" w:rsidP="009764F4">
            <w:pPr>
              <w:jc w:val="center"/>
              <w:rPr>
                <w:color w:val="auto"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14:paraId="5FC60338" w14:textId="78795C93" w:rsidR="009764F4" w:rsidRPr="00BF5165" w:rsidRDefault="009764F4" w:rsidP="009764F4">
            <w:pPr>
              <w:jc w:val="center"/>
              <w:rPr>
                <w:color w:val="auto"/>
                <w:sz w:val="24"/>
                <w:szCs w:val="28"/>
              </w:rPr>
            </w:pPr>
          </w:p>
        </w:tc>
        <w:tc>
          <w:tcPr>
            <w:tcW w:w="1417" w:type="dxa"/>
            <w:tcBorders>
              <w:bottom w:val="single" w:sz="12" w:space="0" w:color="0070C0"/>
              <w:right w:val="single" w:sz="8" w:space="0" w:color="0070C0"/>
            </w:tcBorders>
            <w:vAlign w:val="center"/>
          </w:tcPr>
          <w:p w14:paraId="4A7673AE" w14:textId="041A1A8E" w:rsidR="009764F4" w:rsidRPr="00BF5165" w:rsidRDefault="009764F4" w:rsidP="009764F4">
            <w:pPr>
              <w:jc w:val="center"/>
              <w:rPr>
                <w:color w:val="auto"/>
                <w:sz w:val="24"/>
                <w:szCs w:val="28"/>
              </w:rPr>
            </w:pPr>
          </w:p>
        </w:tc>
      </w:tr>
    </w:tbl>
    <w:p w14:paraId="724E5735" w14:textId="776BBA61" w:rsidR="00886DF6" w:rsidRPr="009764F4" w:rsidRDefault="00886DF6" w:rsidP="009764F4">
      <w:pPr>
        <w:pStyle w:val="Legenda"/>
        <w:keepNext/>
        <w:jc w:val="center"/>
        <w:rPr>
          <w:color w:val="0070C0"/>
        </w:rPr>
      </w:pPr>
      <w:r w:rsidRPr="009764F4">
        <w:rPr>
          <w:color w:val="0070C0"/>
        </w:rPr>
        <w:t xml:space="preserve">Tabela </w:t>
      </w:r>
      <w:r w:rsidRPr="009764F4">
        <w:rPr>
          <w:color w:val="0070C0"/>
        </w:rPr>
        <w:fldChar w:fldCharType="begin"/>
      </w:r>
      <w:r w:rsidRPr="009764F4">
        <w:rPr>
          <w:color w:val="0070C0"/>
        </w:rPr>
        <w:instrText xml:space="preserve"> SEQ Tabela \* ARABIC </w:instrText>
      </w:r>
      <w:r w:rsidRPr="009764F4">
        <w:rPr>
          <w:color w:val="0070C0"/>
        </w:rPr>
        <w:fldChar w:fldCharType="separate"/>
      </w:r>
      <w:r w:rsidRPr="009764F4">
        <w:rPr>
          <w:noProof/>
          <w:color w:val="0070C0"/>
        </w:rPr>
        <w:t>1</w:t>
      </w:r>
      <w:r w:rsidRPr="009764F4">
        <w:rPr>
          <w:color w:val="0070C0"/>
        </w:rPr>
        <w:fldChar w:fldCharType="end"/>
      </w:r>
      <w:r w:rsidRPr="009764F4">
        <w:rPr>
          <w:color w:val="0070C0"/>
        </w:rPr>
        <w:t xml:space="preserve"> Wskaźniki jakości publicznie dostępnych usług telekomunikacyjnych NASK SA w roku 202</w:t>
      </w:r>
      <w:r w:rsidR="00C55FD9">
        <w:rPr>
          <w:color w:val="0070C0"/>
        </w:rPr>
        <w:t>4</w:t>
      </w:r>
      <w:r w:rsidRPr="009764F4">
        <w:rPr>
          <w:color w:val="0070C0"/>
        </w:rPr>
        <w:t>.</w:t>
      </w:r>
    </w:p>
    <w:bookmarkEnd w:id="0"/>
    <w:p w14:paraId="6DCC06FA" w14:textId="16AD877D" w:rsidR="00886DF6" w:rsidRDefault="00886DF6" w:rsidP="00886DF6">
      <w:pPr>
        <w:rPr>
          <w:color w:val="FFFFFF" w:themeColor="background1"/>
        </w:rPr>
      </w:pPr>
    </w:p>
    <w:p w14:paraId="7ADDE165" w14:textId="77777777" w:rsidR="00886DF6" w:rsidRDefault="00886DF6" w:rsidP="00886DF6"/>
    <w:p w14:paraId="2D1CCA51" w14:textId="77777777" w:rsidR="00886DF6" w:rsidRPr="00B93CEF" w:rsidRDefault="00886DF6" w:rsidP="00886DF6">
      <w:pPr>
        <w:rPr>
          <w:rFonts w:cstheme="minorHAnsi"/>
          <w:szCs w:val="20"/>
        </w:rPr>
      </w:pPr>
      <w:r w:rsidRPr="00B93CEF">
        <w:rPr>
          <w:rFonts w:cstheme="minorHAnsi"/>
          <w:szCs w:val="20"/>
        </w:rPr>
        <w:t>Objaśnienia do tabel:</w:t>
      </w:r>
    </w:p>
    <w:p w14:paraId="448A4B2F" w14:textId="77777777" w:rsidR="00886DF6" w:rsidRPr="00B93CEF" w:rsidRDefault="00886DF6" w:rsidP="00886DF6">
      <w:pPr>
        <w:pStyle w:val="Akapitzlist"/>
        <w:numPr>
          <w:ilvl w:val="0"/>
          <w:numId w:val="8"/>
        </w:numPr>
        <w:spacing w:after="200" w:line="276" w:lineRule="auto"/>
        <w:rPr>
          <w:rFonts w:cstheme="minorHAnsi"/>
          <w:szCs w:val="20"/>
        </w:rPr>
      </w:pPr>
      <w:r w:rsidRPr="00B93CEF">
        <w:rPr>
          <w:rFonts w:cstheme="minorHAnsi"/>
          <w:szCs w:val="20"/>
        </w:rPr>
        <w:t>Czas oczekiwania na przyłączenie do stacjonarnej publicznej sieci telekomunikacyjnej – wskaźnikiem jest mediana obliczona z czasów realizacji usług określanych jako czas od dnia zlecenia do czasu aktywacji usługi. Wskaźnik dotyczy usług dostępu do Internetu i usług telefonicznych.</w:t>
      </w:r>
    </w:p>
    <w:p w14:paraId="12DCCD25" w14:textId="0873280A" w:rsidR="00227EED" w:rsidRPr="009764F4" w:rsidRDefault="00886DF6" w:rsidP="009764F4">
      <w:pPr>
        <w:pStyle w:val="Akapitzlist"/>
        <w:numPr>
          <w:ilvl w:val="0"/>
          <w:numId w:val="8"/>
        </w:numPr>
        <w:rPr>
          <w:szCs w:val="20"/>
        </w:rPr>
      </w:pPr>
      <w:r w:rsidRPr="009764F4">
        <w:rPr>
          <w:rFonts w:cstheme="minorHAnsi"/>
          <w:szCs w:val="20"/>
        </w:rPr>
        <w:t>Czas Obsługi Awarii – wskaźnikiem jest procent awarii usuniętych przez NASK SA w czasie krótszym niż 8 godzin w danym kwartale</w:t>
      </w:r>
      <w:r w:rsidR="00227EED" w:rsidRPr="009764F4">
        <w:rPr>
          <w:szCs w:val="20"/>
        </w:rPr>
        <w:t>.</w:t>
      </w:r>
    </w:p>
    <w:p w14:paraId="2C6154CA" w14:textId="77777777" w:rsidR="00227EED" w:rsidRDefault="00227EED" w:rsidP="00BB5622">
      <w:pPr>
        <w:ind w:firstLine="708"/>
        <w:rPr>
          <w:szCs w:val="20"/>
        </w:rPr>
      </w:pPr>
    </w:p>
    <w:p w14:paraId="2E440312" w14:textId="77777777" w:rsidR="00BB5622" w:rsidRDefault="00BB5622" w:rsidP="00BB5622">
      <w:pPr>
        <w:ind w:firstLine="708"/>
        <w:rPr>
          <w:szCs w:val="20"/>
        </w:rPr>
      </w:pPr>
    </w:p>
    <w:p w14:paraId="7C79C17A" w14:textId="77777777" w:rsidR="00BB5622" w:rsidRPr="00BB5622" w:rsidRDefault="00BB5622" w:rsidP="00BB5622">
      <w:pPr>
        <w:ind w:firstLine="708"/>
        <w:rPr>
          <w:szCs w:val="20"/>
        </w:rPr>
      </w:pPr>
    </w:p>
    <w:p w14:paraId="6900339E" w14:textId="166C9A8C" w:rsidR="008838E3" w:rsidRPr="00BB5622" w:rsidRDefault="008838E3" w:rsidP="00BB5622">
      <w:pPr>
        <w:pStyle w:val="Tytu"/>
        <w:jc w:val="left"/>
        <w:rPr>
          <w:sz w:val="22"/>
          <w:szCs w:val="22"/>
        </w:rPr>
      </w:pPr>
    </w:p>
    <w:sectPr w:rsidR="008838E3" w:rsidRPr="00BB5622" w:rsidSect="00927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2" w:right="992" w:bottom="1985" w:left="993" w:header="170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D572E" w14:textId="77777777" w:rsidR="00927906" w:rsidRDefault="00927906" w:rsidP="00C7677C">
      <w:pPr>
        <w:spacing w:after="0"/>
      </w:pPr>
      <w:r>
        <w:separator/>
      </w:r>
    </w:p>
  </w:endnote>
  <w:endnote w:type="continuationSeparator" w:id="0">
    <w:p w14:paraId="50EA5C96" w14:textId="77777777" w:rsidR="00927906" w:rsidRDefault="00927906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CDBD" w14:textId="77777777" w:rsidR="00BB1BB6" w:rsidRDefault="00BB1B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B2A40" w14:textId="3CA12114" w:rsidR="005E4E6F" w:rsidRDefault="00BA699C" w:rsidP="005E4E6F"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114A32F" wp14:editId="37D735BA">
              <wp:simplePos x="0" y="0"/>
              <wp:positionH relativeFrom="page">
                <wp:posOffset>0</wp:posOffset>
              </wp:positionH>
              <wp:positionV relativeFrom="paragraph">
                <wp:posOffset>-15773</wp:posOffset>
              </wp:positionV>
              <wp:extent cx="7559675" cy="10160"/>
              <wp:effectExtent l="0" t="0" r="22225" b="27940"/>
              <wp:wrapTight wrapText="bothSides">
                <wp:wrapPolygon edited="0">
                  <wp:start x="0" y="0"/>
                  <wp:lineTo x="0" y="40500"/>
                  <wp:lineTo x="21609" y="40500"/>
                  <wp:lineTo x="21609" y="0"/>
                  <wp:lineTo x="0" y="0"/>
                </wp:wrapPolygon>
              </wp:wrapTight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9675" cy="101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31F49F1" id="Łącznik prosty 10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-1.25pt" to="595.2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" strokecolor="#023246 [3204]" strokeweight=".5pt">
              <v:stroke joinstyle="miter"/>
              <w10:wrap type="tight" anchorx="page"/>
            </v:line>
          </w:pict>
        </mc:Fallback>
      </mc:AlternateContent>
    </w:r>
  </w:p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3"/>
      <w:gridCol w:w="296"/>
      <w:gridCol w:w="5457"/>
      <w:gridCol w:w="296"/>
      <w:gridCol w:w="1889"/>
    </w:tblGrid>
    <w:tr w:rsidR="00BA699C" w14:paraId="64DF6BF5" w14:textId="77777777" w:rsidTr="00047205">
      <w:tc>
        <w:tcPr>
          <w:tcW w:w="1000" w:type="pct"/>
        </w:tcPr>
        <w:p w14:paraId="77D080A9" w14:textId="306DC4A5" w:rsidR="00BA699C" w:rsidRPr="00262EBA" w:rsidRDefault="00BA699C" w:rsidP="005E4E6F">
          <w:pPr>
            <w:spacing w:line="190" w:lineRule="exact"/>
            <w:jc w:val="left"/>
            <w:rPr>
              <w:b/>
              <w:bCs/>
              <w:sz w:val="14"/>
              <w:szCs w:val="14"/>
            </w:rPr>
          </w:pPr>
          <w:r w:rsidRPr="00262EBA">
            <w:rPr>
              <w:b/>
              <w:bCs/>
              <w:sz w:val="14"/>
              <w:szCs w:val="14"/>
            </w:rPr>
            <w:t>NASK S.A.</w:t>
          </w:r>
        </w:p>
        <w:p w14:paraId="14E4C211" w14:textId="77777777" w:rsidR="00BA699C" w:rsidRPr="00262EBA" w:rsidRDefault="00BA699C" w:rsidP="005E4E6F">
          <w:pPr>
            <w:pStyle w:val="NormalnyWeb"/>
            <w:spacing w:before="0" w:beforeAutospacing="0" w:after="0" w:afterAutospacing="0"/>
            <w:rPr>
              <w:rFonts w:asciiTheme="majorHAnsi" w:hAnsiTheme="majorHAnsi"/>
              <w:color w:val="4A5E65"/>
              <w:sz w:val="14"/>
              <w:szCs w:val="14"/>
            </w:rPr>
          </w:pPr>
          <w:r w:rsidRPr="00262EBA">
            <w:rPr>
              <w:rFonts w:asciiTheme="majorHAnsi" w:hAnsiTheme="majorHAnsi"/>
              <w:color w:val="4A5E65"/>
              <w:sz w:val="14"/>
              <w:szCs w:val="14"/>
            </w:rPr>
            <w:t>ul. 11 Listopada 23</w:t>
          </w:r>
        </w:p>
        <w:p w14:paraId="26F5C498" w14:textId="77777777" w:rsidR="00BA699C" w:rsidRPr="00262EBA" w:rsidRDefault="00BA699C" w:rsidP="005E4E6F">
          <w:pPr>
            <w:pStyle w:val="NormalnyWeb"/>
            <w:spacing w:before="0" w:beforeAutospacing="0" w:after="0" w:afterAutospacing="0"/>
            <w:rPr>
              <w:rFonts w:asciiTheme="majorHAnsi" w:hAnsiTheme="majorHAnsi"/>
              <w:color w:val="4A5E65"/>
              <w:sz w:val="14"/>
              <w:szCs w:val="14"/>
            </w:rPr>
          </w:pPr>
          <w:r w:rsidRPr="00262EBA">
            <w:rPr>
              <w:rFonts w:asciiTheme="majorHAnsi" w:hAnsiTheme="majorHAnsi" w:cs="Calibri"/>
              <w:color w:val="4A5E65"/>
              <w:kern w:val="24"/>
              <w:sz w:val="14"/>
              <w:szCs w:val="14"/>
            </w:rPr>
            <w:t xml:space="preserve">03 – 446 </w:t>
          </w:r>
          <w:r w:rsidRPr="00262EBA">
            <w:rPr>
              <w:rFonts w:asciiTheme="majorHAnsi" w:hAnsiTheme="majorHAnsi"/>
              <w:color w:val="4A5E65"/>
              <w:sz w:val="14"/>
              <w:szCs w:val="14"/>
            </w:rPr>
            <w:t>Warszawa</w:t>
          </w:r>
        </w:p>
        <w:p w14:paraId="3D83BA75" w14:textId="77777777" w:rsidR="00BA699C" w:rsidRPr="00262EBA" w:rsidRDefault="00BA699C" w:rsidP="005E4E6F">
          <w:pPr>
            <w:pStyle w:val="NormalnyWeb"/>
            <w:spacing w:before="0" w:beforeAutospacing="0" w:after="0" w:afterAutospacing="0"/>
            <w:rPr>
              <w:rFonts w:asciiTheme="majorHAnsi" w:hAnsiTheme="majorHAnsi"/>
              <w:color w:val="4A5E65"/>
              <w:sz w:val="14"/>
              <w:szCs w:val="14"/>
            </w:rPr>
          </w:pPr>
        </w:p>
      </w:tc>
      <w:tc>
        <w:tcPr>
          <w:tcW w:w="149" w:type="pct"/>
        </w:tcPr>
        <w:p w14:paraId="01950009" w14:textId="77777777" w:rsidR="00BA699C" w:rsidRDefault="00BA699C" w:rsidP="008D7F1D">
          <w:pPr>
            <w:pStyle w:val="Stopka"/>
            <w:tabs>
              <w:tab w:val="clear" w:pos="4536"/>
              <w:tab w:val="clear" w:pos="9072"/>
              <w:tab w:val="left" w:pos="6418"/>
            </w:tabs>
          </w:pPr>
        </w:p>
      </w:tc>
      <w:tc>
        <w:tcPr>
          <w:tcW w:w="2750" w:type="pct"/>
          <w:vMerge w:val="restart"/>
        </w:tcPr>
        <w:p w14:paraId="01A526B4" w14:textId="3A9644A9" w:rsidR="00BA699C" w:rsidRPr="008D7F1D" w:rsidRDefault="00047205" w:rsidP="008D7F1D">
          <w:pPr>
            <w:spacing w:line="190" w:lineRule="exact"/>
            <w:rPr>
              <w:sz w:val="12"/>
              <w:szCs w:val="12"/>
            </w:rPr>
          </w:pPr>
          <w:r>
            <w:rPr>
              <w:sz w:val="12"/>
              <w:szCs w:val="12"/>
              <w:lang w:eastAsia="pl-PL"/>
            </w:rPr>
            <w:t xml:space="preserve">NASK </w:t>
          </w:r>
          <w:r w:rsidR="00BA699C" w:rsidRPr="008D7F1D">
            <w:rPr>
              <w:sz w:val="12"/>
              <w:szCs w:val="12"/>
              <w:lang w:eastAsia="pl-PL"/>
            </w:rPr>
            <w:t xml:space="preserve">Spółka Akcyjna z siedzibą w Warszawie przy ul. 11 listopada 23 (03-446) Warszawa, wpisana do rejestru przedsiębiorców Krajowego Rejestru Sądowego prowadzonego przez Sąd Rejonowy dla m.st. Warszawy w Warszawie Wydział XIV Gospodarczy Krajowego Rejestru Sądowego, pod numerem KRS: 0000644422, posiadająca numer NIP: 9512421815 oraz numer REGON: 365743505, </w:t>
          </w:r>
          <w:r w:rsidR="00BB1BB6">
            <w:rPr>
              <w:sz w:val="12"/>
              <w:szCs w:val="12"/>
              <w:lang w:eastAsia="pl-PL"/>
            </w:rPr>
            <w:t xml:space="preserve">kapitał </w:t>
          </w:r>
          <w:r w:rsidR="00BA699C" w:rsidRPr="008D7F1D">
            <w:rPr>
              <w:sz w:val="12"/>
              <w:szCs w:val="12"/>
              <w:lang w:eastAsia="pl-PL"/>
            </w:rPr>
            <w:t>zakładowy w wysokości: 7</w:t>
          </w:r>
          <w:r w:rsidR="0075489F">
            <w:rPr>
              <w:sz w:val="12"/>
              <w:szCs w:val="12"/>
              <w:lang w:eastAsia="pl-PL"/>
            </w:rPr>
            <w:t>7</w:t>
          </w:r>
          <w:r w:rsidR="00BA699C" w:rsidRPr="008D7F1D">
            <w:rPr>
              <w:sz w:val="12"/>
              <w:szCs w:val="12"/>
              <w:lang w:eastAsia="pl-PL"/>
            </w:rPr>
            <w:t>.</w:t>
          </w:r>
          <w:r w:rsidR="009B0846">
            <w:rPr>
              <w:sz w:val="12"/>
              <w:szCs w:val="12"/>
              <w:lang w:eastAsia="pl-PL"/>
            </w:rPr>
            <w:t>5</w:t>
          </w:r>
          <w:r w:rsidR="00BA699C" w:rsidRPr="008D7F1D">
            <w:rPr>
              <w:sz w:val="12"/>
              <w:szCs w:val="12"/>
              <w:lang w:eastAsia="pl-PL"/>
            </w:rPr>
            <w:t>43.870,00 zł (słownie: siedemdziesiąt sześć milionów trzysta czterdzieści trzy tysiące osiemset siedemdziesiąt złotych), wpłacony w całości.</w:t>
          </w:r>
          <w:r w:rsidR="00B7088C">
            <w:rPr>
              <w:sz w:val="12"/>
              <w:szCs w:val="12"/>
              <w:lang w:eastAsia="pl-PL"/>
            </w:rPr>
            <w:t xml:space="preserve"> </w:t>
          </w:r>
          <w:r w:rsidR="00B7088C" w:rsidRPr="00B7088C">
            <w:rPr>
              <w:sz w:val="12"/>
              <w:szCs w:val="12"/>
              <w:lang w:eastAsia="pl-PL"/>
            </w:rPr>
            <w:t>BDO: 000350871</w:t>
          </w:r>
        </w:p>
        <w:p w14:paraId="4403AC6A" w14:textId="5D1AD1DB" w:rsidR="00BA699C" w:rsidRPr="005E4E6F" w:rsidRDefault="00BA699C" w:rsidP="008D7F1D">
          <w:pPr>
            <w:spacing w:line="190" w:lineRule="exact"/>
            <w:rPr>
              <w:b/>
              <w:bCs/>
              <w:sz w:val="14"/>
              <w:szCs w:val="16"/>
            </w:rPr>
          </w:pPr>
        </w:p>
      </w:tc>
      <w:tc>
        <w:tcPr>
          <w:tcW w:w="149" w:type="pct"/>
        </w:tcPr>
        <w:p w14:paraId="5BFA3C51" w14:textId="77777777" w:rsidR="00BA699C" w:rsidRDefault="00BA699C" w:rsidP="00493514">
          <w:pPr>
            <w:pStyle w:val="Stopka"/>
            <w:tabs>
              <w:tab w:val="clear" w:pos="4536"/>
              <w:tab w:val="clear" w:pos="9072"/>
              <w:tab w:val="left" w:pos="6418"/>
            </w:tabs>
          </w:pPr>
        </w:p>
      </w:tc>
      <w:tc>
        <w:tcPr>
          <w:tcW w:w="1299" w:type="pct"/>
          <w:vMerge w:val="restart"/>
          <w:vAlign w:val="center"/>
        </w:tcPr>
        <w:p w14:paraId="29E8D927" w14:textId="77777777" w:rsidR="00BA699C" w:rsidRPr="005E4E6F" w:rsidRDefault="00BA699C" w:rsidP="00262EBA">
          <w:pPr>
            <w:spacing w:line="480" w:lineRule="auto"/>
            <w:jc w:val="right"/>
            <w:rPr>
              <w:b/>
              <w:bCs/>
              <w:sz w:val="24"/>
              <w:szCs w:val="24"/>
            </w:rPr>
          </w:pPr>
          <w:r w:rsidRPr="00785426">
            <w:rPr>
              <w:b/>
              <w:bCs/>
              <w:sz w:val="24"/>
              <w:szCs w:val="24"/>
            </w:rPr>
            <w:t>nasksa.pl</w:t>
          </w:r>
        </w:p>
      </w:tc>
    </w:tr>
    <w:tr w:rsidR="00BA699C" w:rsidRPr="007B5202" w14:paraId="170F1908" w14:textId="77777777" w:rsidTr="00047205">
      <w:tc>
        <w:tcPr>
          <w:tcW w:w="1000" w:type="pct"/>
        </w:tcPr>
        <w:p w14:paraId="6A3D7815" w14:textId="77777777" w:rsidR="00BA699C" w:rsidRPr="007B5202" w:rsidRDefault="00000000" w:rsidP="005E4E6F">
          <w:pPr>
            <w:spacing w:line="190" w:lineRule="exact"/>
            <w:jc w:val="left"/>
            <w:rPr>
              <w:color w:val="4A5E65"/>
              <w:sz w:val="14"/>
              <w:szCs w:val="14"/>
              <w:lang w:val="en-US"/>
            </w:rPr>
          </w:pPr>
          <w:hyperlink r:id="rId1" w:history="1">
            <w:r w:rsidR="00BA699C" w:rsidRPr="007B5202">
              <w:rPr>
                <w:rStyle w:val="Hipercze"/>
                <w:color w:val="4A5E65"/>
                <w:sz w:val="14"/>
                <w:szCs w:val="14"/>
                <w:u w:val="none"/>
                <w:lang w:val="en-US"/>
              </w:rPr>
              <w:t>kontakt@nasksa.pl</w:t>
            </w:r>
          </w:hyperlink>
        </w:p>
        <w:p w14:paraId="5334B4EA" w14:textId="77777777" w:rsidR="00BA699C" w:rsidRPr="007B5202" w:rsidRDefault="00BA699C" w:rsidP="005E4E6F">
          <w:pPr>
            <w:jc w:val="left"/>
            <w:rPr>
              <w:sz w:val="14"/>
              <w:szCs w:val="14"/>
              <w:lang w:val="en-US"/>
            </w:rPr>
          </w:pPr>
          <w:r w:rsidRPr="007B5202">
            <w:rPr>
              <w:sz w:val="14"/>
              <w:szCs w:val="14"/>
              <w:lang w:val="en-US"/>
            </w:rPr>
            <w:t xml:space="preserve">tel.: +48 22 182 00 00, </w:t>
          </w:r>
        </w:p>
        <w:p w14:paraId="280D5571" w14:textId="1A2FF39A" w:rsidR="00BA699C" w:rsidRPr="007B5202" w:rsidRDefault="00BA699C" w:rsidP="005E4E6F">
          <w:pPr>
            <w:jc w:val="left"/>
            <w:rPr>
              <w:sz w:val="14"/>
              <w:szCs w:val="14"/>
              <w:lang w:val="en-US"/>
            </w:rPr>
          </w:pPr>
          <w:r w:rsidRPr="007B5202">
            <w:rPr>
              <w:sz w:val="14"/>
              <w:szCs w:val="14"/>
              <w:lang w:val="en-US"/>
            </w:rPr>
            <w:t>fax: +48 22 182 00 10</w:t>
          </w:r>
        </w:p>
      </w:tc>
      <w:tc>
        <w:tcPr>
          <w:tcW w:w="149" w:type="pct"/>
        </w:tcPr>
        <w:p w14:paraId="2293A120" w14:textId="77777777" w:rsidR="00BA699C" w:rsidRPr="007B5202" w:rsidRDefault="00BA699C" w:rsidP="00493514">
          <w:pPr>
            <w:pStyle w:val="Stopka"/>
            <w:tabs>
              <w:tab w:val="clear" w:pos="4536"/>
              <w:tab w:val="clear" w:pos="9072"/>
              <w:tab w:val="left" w:pos="6418"/>
            </w:tabs>
            <w:rPr>
              <w:lang w:val="en-US"/>
            </w:rPr>
          </w:pPr>
        </w:p>
      </w:tc>
      <w:tc>
        <w:tcPr>
          <w:tcW w:w="2750" w:type="pct"/>
          <w:vMerge/>
        </w:tcPr>
        <w:p w14:paraId="4F1FDFAE" w14:textId="049C4E78" w:rsidR="00BA699C" w:rsidRPr="007B5202" w:rsidRDefault="00BA699C" w:rsidP="005E4E6F">
          <w:pPr>
            <w:spacing w:line="190" w:lineRule="exact"/>
            <w:jc w:val="left"/>
            <w:rPr>
              <w:sz w:val="14"/>
              <w:szCs w:val="16"/>
              <w:lang w:val="en-US"/>
            </w:rPr>
          </w:pPr>
        </w:p>
      </w:tc>
      <w:tc>
        <w:tcPr>
          <w:tcW w:w="149" w:type="pct"/>
        </w:tcPr>
        <w:p w14:paraId="14D50555" w14:textId="77777777" w:rsidR="00BA699C" w:rsidRPr="007B5202" w:rsidRDefault="00BA699C" w:rsidP="00493514">
          <w:pPr>
            <w:pStyle w:val="Stopka"/>
            <w:tabs>
              <w:tab w:val="clear" w:pos="4536"/>
              <w:tab w:val="clear" w:pos="9072"/>
              <w:tab w:val="left" w:pos="6418"/>
            </w:tabs>
            <w:rPr>
              <w:lang w:val="en-US"/>
            </w:rPr>
          </w:pPr>
        </w:p>
      </w:tc>
      <w:tc>
        <w:tcPr>
          <w:tcW w:w="1299" w:type="pct"/>
          <w:vMerge/>
        </w:tcPr>
        <w:p w14:paraId="4B3A4FAA" w14:textId="77777777" w:rsidR="00BA699C" w:rsidRPr="007B5202" w:rsidRDefault="00BA699C" w:rsidP="00493514">
          <w:pPr>
            <w:pStyle w:val="Stopka"/>
            <w:tabs>
              <w:tab w:val="clear" w:pos="4536"/>
              <w:tab w:val="clear" w:pos="9072"/>
              <w:tab w:val="left" w:pos="6418"/>
            </w:tabs>
            <w:rPr>
              <w:lang w:val="en-US"/>
            </w:rPr>
          </w:pPr>
        </w:p>
      </w:tc>
    </w:tr>
  </w:tbl>
  <w:p w14:paraId="39400D71" w14:textId="77777777" w:rsidR="006761B2" w:rsidRPr="007B5202" w:rsidRDefault="006761B2" w:rsidP="005E4E6F">
    <w:pPr>
      <w:pStyle w:val="Stopka"/>
      <w:tabs>
        <w:tab w:val="clear" w:pos="4536"/>
        <w:tab w:val="clear" w:pos="9072"/>
        <w:tab w:val="left" w:pos="6418"/>
      </w:tabs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B4BD" w14:textId="77777777" w:rsidR="00BB1BB6" w:rsidRDefault="00BB1B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73402" w14:textId="77777777" w:rsidR="00927906" w:rsidRDefault="00927906" w:rsidP="00C7677C">
      <w:pPr>
        <w:spacing w:after="0"/>
      </w:pPr>
      <w:r>
        <w:separator/>
      </w:r>
    </w:p>
  </w:footnote>
  <w:footnote w:type="continuationSeparator" w:id="0">
    <w:p w14:paraId="61D1C38E" w14:textId="77777777" w:rsidR="00927906" w:rsidRDefault="00927906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0773" w14:textId="77777777" w:rsidR="00BB1BB6" w:rsidRDefault="00BB1B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B432" w14:textId="77777777" w:rsidR="00C7677C" w:rsidRDefault="00493514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56F3561" wp14:editId="265FB7A3">
          <wp:simplePos x="0" y="0"/>
          <wp:positionH relativeFrom="margin">
            <wp:align>right</wp:align>
          </wp:positionH>
          <mc:AlternateContent>
            <mc:Choice Requires="wp14">
              <wp:positionV relativeFrom="topMargin">
                <wp14:pctPosVOffset>50000</wp14:pctPosVOffset>
              </wp:positionV>
            </mc:Choice>
            <mc:Fallback>
              <wp:positionV relativeFrom="page">
                <wp:posOffset>314960</wp:posOffset>
              </wp:positionV>
            </mc:Fallback>
          </mc:AlternateContent>
          <wp:extent cx="1256400" cy="172800"/>
          <wp:effectExtent l="0" t="0" r="1270" b="0"/>
          <wp:wrapNone/>
          <wp:docPr id="284633263" name="Grafika 284633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400" cy="1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9C9DB" w14:textId="77777777" w:rsidR="00BB1BB6" w:rsidRDefault="00BB1B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425AC"/>
    <w:multiLevelType w:val="hybridMultilevel"/>
    <w:tmpl w:val="AFF266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E594247"/>
    <w:multiLevelType w:val="multilevel"/>
    <w:tmpl w:val="D88C055E"/>
    <w:lvl w:ilvl="0">
      <w:start w:val="1"/>
      <w:numFmt w:val="bullet"/>
      <w:pStyle w:val="Wypunktowanie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23246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023246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023246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023246" w:themeColor="accent1"/>
      </w:rPr>
    </w:lvl>
  </w:abstractNum>
  <w:abstractNum w:abstractNumId="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3377887">
    <w:abstractNumId w:val="4"/>
  </w:num>
  <w:num w:numId="2" w16cid:durableId="1193568120">
    <w:abstractNumId w:val="2"/>
  </w:num>
  <w:num w:numId="3" w16cid:durableId="1596671477">
    <w:abstractNumId w:val="4"/>
  </w:num>
  <w:num w:numId="4" w16cid:durableId="454716913">
    <w:abstractNumId w:val="3"/>
  </w:num>
  <w:num w:numId="5" w16cid:durableId="1924952931">
    <w:abstractNumId w:val="0"/>
  </w:num>
  <w:num w:numId="6" w16cid:durableId="786892976">
    <w:abstractNumId w:val="6"/>
  </w:num>
  <w:num w:numId="7" w16cid:durableId="1819835490">
    <w:abstractNumId w:val="5"/>
  </w:num>
  <w:num w:numId="8" w16cid:durableId="1495101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BB"/>
    <w:rsid w:val="00031875"/>
    <w:rsid w:val="00047205"/>
    <w:rsid w:val="00055F1B"/>
    <w:rsid w:val="000F7DC5"/>
    <w:rsid w:val="001733A8"/>
    <w:rsid w:val="001B1951"/>
    <w:rsid w:val="001E08D8"/>
    <w:rsid w:val="001F4D0D"/>
    <w:rsid w:val="00222F21"/>
    <w:rsid w:val="00227EED"/>
    <w:rsid w:val="00235D5D"/>
    <w:rsid w:val="002424D4"/>
    <w:rsid w:val="0025451D"/>
    <w:rsid w:val="00262EBA"/>
    <w:rsid w:val="002713B0"/>
    <w:rsid w:val="002F0D94"/>
    <w:rsid w:val="002F690B"/>
    <w:rsid w:val="003116FB"/>
    <w:rsid w:val="00313FF3"/>
    <w:rsid w:val="00371339"/>
    <w:rsid w:val="00383994"/>
    <w:rsid w:val="00395291"/>
    <w:rsid w:val="003B7265"/>
    <w:rsid w:val="00410A7A"/>
    <w:rsid w:val="00414C3D"/>
    <w:rsid w:val="00464B82"/>
    <w:rsid w:val="00465F29"/>
    <w:rsid w:val="004839E6"/>
    <w:rsid w:val="00493514"/>
    <w:rsid w:val="004B5C61"/>
    <w:rsid w:val="004D4928"/>
    <w:rsid w:val="004E1709"/>
    <w:rsid w:val="004F7362"/>
    <w:rsid w:val="00505E0A"/>
    <w:rsid w:val="00515413"/>
    <w:rsid w:val="00555538"/>
    <w:rsid w:val="00560185"/>
    <w:rsid w:val="005A1E67"/>
    <w:rsid w:val="005C73CC"/>
    <w:rsid w:val="005E4E6F"/>
    <w:rsid w:val="00630437"/>
    <w:rsid w:val="00631967"/>
    <w:rsid w:val="006602B1"/>
    <w:rsid w:val="0067102F"/>
    <w:rsid w:val="006761B2"/>
    <w:rsid w:val="006976F6"/>
    <w:rsid w:val="006A535C"/>
    <w:rsid w:val="006C2482"/>
    <w:rsid w:val="006D12BB"/>
    <w:rsid w:val="006F0FF4"/>
    <w:rsid w:val="00731A80"/>
    <w:rsid w:val="00735601"/>
    <w:rsid w:val="007416C9"/>
    <w:rsid w:val="00752AB0"/>
    <w:rsid w:val="0075489F"/>
    <w:rsid w:val="00762004"/>
    <w:rsid w:val="0077184F"/>
    <w:rsid w:val="0077452C"/>
    <w:rsid w:val="00785426"/>
    <w:rsid w:val="007B5202"/>
    <w:rsid w:val="007C7A84"/>
    <w:rsid w:val="007E4383"/>
    <w:rsid w:val="0081049C"/>
    <w:rsid w:val="00837FFB"/>
    <w:rsid w:val="008562EF"/>
    <w:rsid w:val="00871412"/>
    <w:rsid w:val="008838E3"/>
    <w:rsid w:val="00886DF6"/>
    <w:rsid w:val="008974E0"/>
    <w:rsid w:val="008B37B8"/>
    <w:rsid w:val="008C1BB6"/>
    <w:rsid w:val="008D7F1D"/>
    <w:rsid w:val="00925658"/>
    <w:rsid w:val="00927906"/>
    <w:rsid w:val="00962CEB"/>
    <w:rsid w:val="009764F4"/>
    <w:rsid w:val="009B0846"/>
    <w:rsid w:val="009D52EE"/>
    <w:rsid w:val="009E0727"/>
    <w:rsid w:val="009F440A"/>
    <w:rsid w:val="00A05166"/>
    <w:rsid w:val="00A41F00"/>
    <w:rsid w:val="00A43DE4"/>
    <w:rsid w:val="00A862B7"/>
    <w:rsid w:val="00A93800"/>
    <w:rsid w:val="00A97FF6"/>
    <w:rsid w:val="00AD16E7"/>
    <w:rsid w:val="00AD1AB6"/>
    <w:rsid w:val="00AE7C3C"/>
    <w:rsid w:val="00B51F9C"/>
    <w:rsid w:val="00B60F27"/>
    <w:rsid w:val="00B7088C"/>
    <w:rsid w:val="00B818DD"/>
    <w:rsid w:val="00BA699C"/>
    <w:rsid w:val="00BB1BB6"/>
    <w:rsid w:val="00BB5622"/>
    <w:rsid w:val="00BE28C3"/>
    <w:rsid w:val="00BF5165"/>
    <w:rsid w:val="00C00E5E"/>
    <w:rsid w:val="00C048C6"/>
    <w:rsid w:val="00C1034E"/>
    <w:rsid w:val="00C33086"/>
    <w:rsid w:val="00C37C33"/>
    <w:rsid w:val="00C42A8D"/>
    <w:rsid w:val="00C55FD9"/>
    <w:rsid w:val="00C673CE"/>
    <w:rsid w:val="00C7677C"/>
    <w:rsid w:val="00CC2B3A"/>
    <w:rsid w:val="00CE0432"/>
    <w:rsid w:val="00D15FD4"/>
    <w:rsid w:val="00D21D46"/>
    <w:rsid w:val="00D334F1"/>
    <w:rsid w:val="00DA7B04"/>
    <w:rsid w:val="00E03226"/>
    <w:rsid w:val="00E0329B"/>
    <w:rsid w:val="00E31705"/>
    <w:rsid w:val="00E35C3B"/>
    <w:rsid w:val="00E6129C"/>
    <w:rsid w:val="00E750A6"/>
    <w:rsid w:val="00E810FA"/>
    <w:rsid w:val="00EB5BA2"/>
    <w:rsid w:val="00ED6BC1"/>
    <w:rsid w:val="00ED7FAA"/>
    <w:rsid w:val="00EE23F3"/>
    <w:rsid w:val="00EE6F38"/>
    <w:rsid w:val="00EF7C40"/>
    <w:rsid w:val="00F14B99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8E256"/>
  <w15:chartTrackingRefBased/>
  <w15:docId w15:val="{8E2F968C-F28C-4BD2-B301-BA50DFA7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6E7"/>
    <w:pPr>
      <w:spacing w:line="240" w:lineRule="auto"/>
      <w:jc w:val="both"/>
    </w:pPr>
    <w:rPr>
      <w:rFonts w:ascii="Century Gothic" w:hAnsi="Century Gothic"/>
      <w:color w:val="023246" w:themeColor="accen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4F1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432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012534" w:themeColor="accent1" w:themeShade="BF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AD16E7"/>
    <w:pPr>
      <w:jc w:val="left"/>
      <w:outlineLvl w:val="2"/>
    </w:pPr>
    <w:rPr>
      <w:color w:val="023246" w:themeColor="accent1"/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D334F1"/>
    <w:rPr>
      <w:rFonts w:ascii="Century Gothic" w:eastAsiaTheme="majorEastAsia" w:hAnsi="Century Gothic" w:cstheme="majorBidi"/>
      <w:b/>
      <w:bCs/>
      <w:color w:val="023246" w:themeColor="accent1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E0432"/>
    <w:rPr>
      <w:rFonts w:asciiTheme="majorHAnsi" w:eastAsiaTheme="majorEastAsia" w:hAnsiTheme="majorHAnsi" w:cstheme="majorBidi"/>
      <w:b/>
      <w:color w:val="012534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AD16E7"/>
    <w:rPr>
      <w:rFonts w:asciiTheme="majorHAnsi" w:eastAsiaTheme="majorEastAsia" w:hAnsiTheme="majorHAnsi" w:cstheme="majorBidi"/>
      <w:color w:val="023246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023246" w:themeColor="accent1"/>
      <w:sz w:val="20"/>
      <w:szCs w:val="24"/>
    </w:rPr>
  </w:style>
  <w:style w:type="paragraph" w:styleId="Akapitzlist">
    <w:name w:val="List Paragraph"/>
    <w:basedOn w:val="Normalny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0F7DC5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87194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012534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NormalnyWeb">
    <w:name w:val="Normal (Web)"/>
    <w:basedOn w:val="Normalny"/>
    <w:uiPriority w:val="99"/>
    <w:unhideWhenUsed/>
    <w:rsid w:val="0078542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2"/>
      <w:szCs w:val="24"/>
      <w:lang w:eastAsia="pl-PL"/>
    </w:rPr>
  </w:style>
  <w:style w:type="table" w:customStyle="1" w:styleId="Jasnalistaakcent11">
    <w:name w:val="Jasna lista — akcent 11"/>
    <w:basedOn w:val="Standardowy"/>
    <w:uiPriority w:val="61"/>
    <w:rsid w:val="00886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23246" w:themeColor="accent1"/>
        <w:left w:val="single" w:sz="8" w:space="0" w:color="023246" w:themeColor="accent1"/>
        <w:bottom w:val="single" w:sz="8" w:space="0" w:color="023246" w:themeColor="accent1"/>
        <w:right w:val="single" w:sz="8" w:space="0" w:color="02324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324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3246" w:themeColor="accent1"/>
          <w:left w:val="single" w:sz="8" w:space="0" w:color="023246" w:themeColor="accent1"/>
          <w:bottom w:val="single" w:sz="8" w:space="0" w:color="023246" w:themeColor="accent1"/>
          <w:right w:val="single" w:sz="8" w:space="0" w:color="02324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3246" w:themeColor="accent1"/>
          <w:left w:val="single" w:sz="8" w:space="0" w:color="023246" w:themeColor="accent1"/>
          <w:bottom w:val="single" w:sz="8" w:space="0" w:color="023246" w:themeColor="accent1"/>
          <w:right w:val="single" w:sz="8" w:space="0" w:color="023246" w:themeColor="accent1"/>
        </w:tcBorders>
      </w:tcPr>
    </w:tblStylePr>
    <w:tblStylePr w:type="band1Horz">
      <w:tblPr/>
      <w:tcPr>
        <w:tcBorders>
          <w:top w:val="single" w:sz="8" w:space="0" w:color="023246" w:themeColor="accent1"/>
          <w:left w:val="single" w:sz="8" w:space="0" w:color="023246" w:themeColor="accent1"/>
          <w:bottom w:val="single" w:sz="8" w:space="0" w:color="023246" w:themeColor="accent1"/>
          <w:right w:val="single" w:sz="8" w:space="0" w:color="023246" w:themeColor="accent1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886DF6"/>
    <w:pPr>
      <w:spacing w:after="200"/>
      <w:jc w:val="left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nasksa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sz\Desktop\pulpit\rebrending\papier%20firmowy\NASKSA_papier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NASK SA">
      <a:dk1>
        <a:srgbClr val="000000"/>
      </a:dk1>
      <a:lt1>
        <a:srgbClr val="FFFFFF"/>
      </a:lt1>
      <a:dk2>
        <a:srgbClr val="023246"/>
      </a:dk2>
      <a:lt2>
        <a:srgbClr val="BECED7"/>
      </a:lt2>
      <a:accent1>
        <a:srgbClr val="023246"/>
      </a:accent1>
      <a:accent2>
        <a:srgbClr val="C0F20A"/>
      </a:accent2>
      <a:accent3>
        <a:srgbClr val="287194"/>
      </a:accent3>
      <a:accent4>
        <a:srgbClr val="07AAEB"/>
      </a:accent4>
      <a:accent5>
        <a:srgbClr val="E2FA8A"/>
      </a:accent5>
      <a:accent6>
        <a:srgbClr val="3A9ACA"/>
      </a:accent6>
      <a:hlink>
        <a:srgbClr val="287194"/>
      </a:hlink>
      <a:folHlink>
        <a:srgbClr val="023246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0EA67F3980904F8B80F9D76E7BDD37" ma:contentTypeVersion="12" ma:contentTypeDescription="Utwórz nowy dokument." ma:contentTypeScope="" ma:versionID="84373d1115a5f66db766a7408f84c977">
  <xsd:schema xmlns:xsd="http://www.w3.org/2001/XMLSchema" xmlns:xs="http://www.w3.org/2001/XMLSchema" xmlns:p="http://schemas.microsoft.com/office/2006/metadata/properties" xmlns:ns2="ae76ff9f-e89b-4fc4-a579-e3160dc995cf" xmlns:ns3="22f25482-c3aa-4415-b982-625057a7de60" targetNamespace="http://schemas.microsoft.com/office/2006/metadata/properties" ma:root="true" ma:fieldsID="0df1a35c615c6c5c0b0f2d3295fc4e2f" ns2:_="" ns3:_="">
    <xsd:import namespace="ae76ff9f-e89b-4fc4-a579-e3160dc995cf"/>
    <xsd:import namespace="22f25482-c3aa-4415-b982-625057a7d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6ff9f-e89b-4fc4-a579-e3160dc99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deb849dd-928f-47ae-af17-9dc8508e7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25482-c3aa-4415-b982-625057a7de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aedbe9-352d-4a2d-b545-65ca0e14a1a0}" ma:internalName="TaxCatchAll" ma:showField="CatchAllData" ma:web="22f25482-c3aa-4415-b982-625057a7d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76ff9f-e89b-4fc4-a579-e3160dc995cf">
      <Terms xmlns="http://schemas.microsoft.com/office/infopath/2007/PartnerControls"/>
    </lcf76f155ced4ddcb4097134ff3c332f>
    <TaxCatchAll xmlns="22f25482-c3aa-4415-b982-625057a7de60" xsi:nil="true"/>
  </documentManagement>
</p:properties>
</file>

<file path=customXml/itemProps1.xml><?xml version="1.0" encoding="utf-8"?>
<ds:datastoreItem xmlns:ds="http://schemas.openxmlformats.org/officeDocument/2006/customXml" ds:itemID="{BDF360BD-4FCC-4490-84AB-D962B0A0E2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2563D0-657D-40DA-80D0-2790F84A4C63}"/>
</file>

<file path=customXml/itemProps3.xml><?xml version="1.0" encoding="utf-8"?>
<ds:datastoreItem xmlns:ds="http://schemas.openxmlformats.org/officeDocument/2006/customXml" ds:itemID="{73CCE20E-1AB6-420A-A17D-A37D47DADB17}"/>
</file>

<file path=customXml/itemProps4.xml><?xml version="1.0" encoding="utf-8"?>
<ds:datastoreItem xmlns:ds="http://schemas.openxmlformats.org/officeDocument/2006/customXml" ds:itemID="{CA339EE2-CCA7-4390-BEDB-328FD49565B3}"/>
</file>

<file path=docProps/app.xml><?xml version="1.0" encoding="utf-8"?>
<Properties xmlns="http://schemas.openxmlformats.org/officeDocument/2006/extended-properties" xmlns:vt="http://schemas.openxmlformats.org/officeDocument/2006/docPropsVTypes">
  <Template>NASKSA_papierfirmowy.dotx</Template>
  <TotalTime>2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Szoll-Wieczorek Magdalena</dc:creator>
  <cp:keywords/>
  <dc:description/>
  <cp:lastModifiedBy>Krysztof Filip</cp:lastModifiedBy>
  <cp:revision>8</cp:revision>
  <cp:lastPrinted>2022-01-12T14:51:00Z</cp:lastPrinted>
  <dcterms:created xsi:type="dcterms:W3CDTF">2023-07-06T07:22:00Z</dcterms:created>
  <dcterms:modified xsi:type="dcterms:W3CDTF">2024-04-12T09:54:00Z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0x010100A00EA67F3980904F8B80F9D76E7BDD37</vt:lpwstr>
  </property>
</Properties>
</file>